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ПРИЛОЖЕНИЕ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№ 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постановлению Правительства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670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Start w:id="1" w:name="_GoBack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670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«ПРИЛОЖЕНИЕ № 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постановлению Правительства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 28.07.2015 № 291-п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ПОРЯДОК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предоставления субсидий организациям медицинской промышленности в рамках реализации мероприятий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государственной программы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«Развитие промышленности и повышение ее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конкурентоспособности в Новосибирской области»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73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I. Общие положения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 Настоящий Порядок разработан в соответствии со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татьей 78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Бюджетного кодекса Российской Федерации, постановлением Правительства Российской Федерации от 25.10.2023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Законом Новосибирской области от 31.05.2016 № 69-ОЗ «Об отдельных 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просах формирования и реализации промышленной политики в Новосибирской области», иными нормативными правовыми актами Новосибирской области и устанавливает общие правила предоставления субсидий за счет средств областного бюджета Новосибирской области (далее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– субсидии) организациям медицинской промышленности в рамках реализации мероприятий государственной программы Новосибирской области «Развитие промышленности и повышение ее конкурентоспособности в Новосибирской области» (далее – государственная программа).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2. Обязательства о пред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оставлении субсидии принимаются министерством промышленности, торговли и развития предпринимательства Новосибирской области (далее - министерство) на период доведенных до него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лимитов бюджетных обязательств на цели, 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 4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3. Информация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 субсидиях размещается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«Интернет» (далее – единый портал) (в разделе единого портала) в порядке, установленном Министерством финансов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4. Цель предоставления субсидий – создание условий для развития организаций медицинской промышленности по увеличению объемов производства продукции, соответствующей международным и российским стандартам, и развитию инфраструктуры.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5. Субсидии предоставляются главным распорядителем бюджетных средств областного бюджета Новосибирской области (далее – областной бюджет) – министерством, до кото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год, на возмещение части затрат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без учета НДС)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6. Получателем субсидии является организация, относящаяся к следующим категориям: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является юридическим лицом, индивидуальным предприни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мателем (за исключением государственных (муниципальных) учреждений), осуществляющим деятельность в сфере производства медицинских изделий, лекарственных средств, медицинских технологий, предоставляющим услуги организациям, осуществляющим деятельность в сфе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 разработки и производства медицинских изделий, лекарс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твенных средств и медицинских технологий и отнесенным к видам экономической деятельности в соответствии с Общероссийским классификатором видов экономической деятельности (ОКВЭД), утвержденным приказом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Федерального агентства по техническому регулированию и метрологии от 31.01.2014 № 14-ст, к производству продукции медицинских изделий, лекарственных средств и медицинских технологий, применяемых в медицинских целях, и оказанию услуг (далее – организация);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 организация должна быть зарегистрирована в установленном порядке на территории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 наличие у организации сертификатов и лицензий, предусмотренных законодательством 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оссийской Федерации, для выполнения работ, услуг по направлениям, заявленным на получение субсидий в рамках мероприятий пункта 4 настоящего Порядка (при необходимости);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4) информация об организации размещена в государственной информационной системе промышленности в информационно-телекоммуникационной сети «Интернет» (далее – сеть «Интернет») (</w:t>
      </w:r>
      <w:hyperlink r:id="rId10" w:tooltip="https://gisp.gov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single"/>
            <w:lang w:val="ru-RU"/>
          </w:rPr>
          <w:t xml:space="preserve">https://gisp.gov.ru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7. Определение получателей субсидий осуществляется по результатам отбора путем проведения конкурса исходя из наилучших условий достижения результатов предоставления субсидий (далее – отбор).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Информация о получателях субсидии размещается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Реестре получателей государственной поддержки на территории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hyperlink r:id="rId11" w:tooltip="https://www.nso.ru/page/20854)." w:history="1"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https://www.nso.ru/page/20854</w:t>
        </w:r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).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Организатором отбора является министерство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промышленности, торговли и развития предпринимательства Новосибирской области далее – (министерство).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8. Проведение отбора осуществляется в соответствии с Правилами отбора получателей субсидий, в том числе грантов в форме субсидий, предоставляемых из бюджетов бюджетной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системы Российской Федерации юридическим лицам, индивидуальным предпринимателям, а также физическим лицам – производителям товаров, работ, услуг, утвержденными постановлением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равительства Российской Федерации от 25.10.2023 № 1781 (далее – Правила отбора).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II. Условия и порядок предоставления субсидий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Предоставление субсидий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соответствии организации на дату рассмотрения заявки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следующим обязательным требованиям: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превышение уровня среднемесячной заработной платы одного работника за каждый квартал текущего календарного года по отношению к установленной величине прожиточного минимума для трудоспособного населения Новосибирской области за соответствующий квартал: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а) для организаций, осуществляющих свою деятельность в городе Новосибирске, – не менее чем в 2 раза;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б) для организаций, осуществляющих свою деятельность в городах Бердске, Барабинске, Искитиме, Куйбышеве, Оби, Татарске, рабочем поселке Кольцово, - не менее чем в 1,4 раза;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в) для организаций,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существляющих свою деятельность в иных населенных пунктах Новосибирской области, допускается уровень среднемесячной заработной платы одного работника не менее установленной величины прожиточного минимума для трудоспособного населения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 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является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иностранным юридическим лицом, в том числе местом регистрации которого является государство или территория, включенные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составляемых в рамках реализации полномочий, предусмотренных главой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VII Ус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средства из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облас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тного бюджета на основании иных нормативных правовых актов Новосибирской области на цель, указанную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иностранным агентом в соответствии с Федеральным законом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14.07.2022 № 255-ФЗ «О контроле за деятельностью лиц, находящихся под иностранным влиянием»;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едином налоговом счете отсутствует или не превышает размер, определенный пунктом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 статьи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отсутствует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просроченная задолженность по возврату в областной бюджет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иных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субсидий, бюджетных инвестиций, а также иная просроченная (неурегулированная) задолженность по денежным обязательствам перед Новосибирской областью;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процессе реорганизации (за исключением реорганизации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субъекта деятельности в сфере промышленности 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приостановлена в порядке, предусмотренном законодательством Российской Федерации,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а индивидуальный предприниматель не прекратил деятельность в качестве индивидуального предпринимателя (для индивидуальных предпринимателей).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10.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Направления расходов по которым предоставляется субсидия: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расходы, связанные с оплатой услуг сторонних организаций, на проведение необходимых исследовательских работ, а также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 проведению доклинических (в том числе технических и/или токсикологических) и/или клинических испытаний/исследований медицинских изделий, лекарственных средств и медицинских техн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(без учета государственных пошлин)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расходы, связанные с оплатой услуг сторонних организаций, на проведение необходимых исследовательских и опытно-конструкторских работ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оплата аренды помещений, занимаемых организацией и предназначенных для обеспечения научно-производственной деятельности по заявленному проекту;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 приобретение расходных материалов в целях проведения исследовательской работ по созда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образцов продукции медицинских изделий, лекарственных средств и медицинских технологий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 заявленному проекту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Проверка организации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соответствие требованиям, указанным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настоящего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осуществляется в срок не позднее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пяти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рабочих дней до дня начала оценки заявок, указанного в объявлении о проведении отбора, в соответствии с Правилами отбора.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 проверке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организации на соответствие требованиям, указанным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9 настоящего Порядка, министерство использует информацию (сведения), указанные в заявке, полученные в порядке межведомственного взаи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модействия, а также опубликованные в сети «Интернет» на официальном сайте Федеральной службы по финансовому мониторингу (Росфинмониторинг), официальном сайте Министерства юстиции Российской Федерац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ии и сервисе Федеральной налоговой службы России «Предостав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ление сведений из ЕГРЮЛ/ЕГРИП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подают заявку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государственной интегрированной информационной системе управления общественными финансами «Электронный бюджет»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ГИИС «Электронный бюджет»)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соответствии с разделом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V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Правил отбора с приложением документов,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указанных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приложении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 настоящему Порядку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документы)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14. 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Основаниями для отказа в предоставлении субсидии являются: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несоответствие представленных получателем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заявки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документов требованиям,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определенным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настоящим Порядком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или непредставление (представление не в полном объеме) указанных документов (за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исключением документов, представляемых по собственной инициативе);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установление факта недостоверности представленной получателем субсидии информации;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несоответствие получателя субсидии требованиям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установленным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4) несоответствие получателя субсидии категориям, установленным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недостаточность лимитов бюджетных обязательств, утвержденных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реализацию соответствующего мероприятия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программы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соответствующий финансовый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год;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6)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установление факта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возмещения затрат, по которым ранее были предоставлены субсидии в рамках мероприятий государственной программы или мероприятий иных государственных или муниципальных программ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цели, 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 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7)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установление факта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возмещения заработной платы работников организации.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Start w:id="13" w:name="P12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End w:id="1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15. Оценка заявок осуществляется с учетом системы критериев для отбора и ниже установленных оценочных показателей (параметров), их значений в баллах и весового значения: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afterAutospacing="1" w:line="240" w:lineRule="auto"/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технологий:</w:t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7"/>
        <w:gridCol w:w="2551"/>
        <w:gridCol w:w="2409"/>
        <w:gridCol w:w="1276"/>
        <w:gridCol w:w="1559"/>
        <w:gridCol w:w="11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Критерий для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Значение критерия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Шкала оценки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Весовое значение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Максимальный балл по критерию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Наличие патентов, авторских свидетельст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, секретов производства (ноу-хау)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 организации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 и более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патентов/свидетельств/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 патент/свидетельство/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отсутствуют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Срок вывода продукции на рынок: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продукт выведен на рынок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не менее 1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более 1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Значимость проекта для социально-экономического развития Новосибирской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области: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медицинское изделие, лекарственное средство и медицинская технология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относится к критическим технологиям, включенным 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важнейших наукоемких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технологий,  утвержденный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Указом Президента Российской Федерации от 18.06.2024 № 529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продукция находится в реестре инновационной, в том числе нанотехнологической, продукции, производимой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 Новосибирской области, сформированном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 соответствии с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Порядком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формирования и ведения реестра инновационной, в том числе нанотехнологической, продукции, производимой в Новосибирской области,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установленным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постановлением Правительства Новосибирской области от 11.10.2016 № 335-п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8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организация зарегистрирована в сети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Интернет» на сайте федерального центра компетенций в сфере производительности труда по видам экономической деятельности (https://производительность.рф)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Наличие условий для разработки и производс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ва медицинских изделий, лекарственных средств, медицинских технологий, соответствующих требованиям профильных российских и (или) международных стандартов, директив, технических регламентов либо нормативных правовых актов Правительства Российской Федерации: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есть собственное производство, соответствует требованиям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есть собственное помещение, соответствует требованиям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75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предполагается аренда помещения, соответствует требованиям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6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ff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Медицинское изделие, лекарственное средство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и медицинская технология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являются аналогом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включеной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еречень товаров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отношении которых устанавливается ограничение закупок для обеспечения государственных и муниципальных нужд, закупок отдельными видами юридических лиц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риложение № 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постановлению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 23.12.2024 № 1875)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:</w:t>
            </w: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входят в перечень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,1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не входят в перечень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ind w:firstLine="709"/>
        <w:jc w:val="both"/>
        <w:spacing w:after="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 на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7"/>
        <w:gridCol w:w="2693"/>
        <w:gridCol w:w="2329"/>
        <w:gridCol w:w="1276"/>
        <w:gridCol w:w="1559"/>
        <w:gridCol w:w="11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Критерий для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Значение критерия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Шкала оценки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Весовое значение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Максимальный балл по критерию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Наличие патентов, авторских свидетельств, секретов производства (ноу-хау)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 организации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 и более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патентов/свидетельств/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 патент/свидетельство/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отсутствуют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left="60" w:right="5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Стадия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завершения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проекта (на момент предоставления субсидии):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4"/>
                <w:szCs w:val="24"/>
                <w:highlight w:val="none"/>
              </w:rPr>
              <w:t xml:space="preserve">организовано полномасштабное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0,2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right="2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осуществлен выпуск опытных изделий, их экспертиза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сертификация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left="106" w:right="79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проведены заводские испытания опытно- промышленного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образца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left="106" w:right="79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проведены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испытания опытного образца в критических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условиях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left="106" w:right="79" w:firstLine="0"/>
              <w:jc w:val="center"/>
              <w:spacing w:before="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проведены испытания изготовленных опытных образцов,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технологических процессов в реальных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4"/>
                <w:szCs w:val="24"/>
                <w:highlight w:val="none"/>
              </w:rPr>
              <w:t xml:space="preserve">условиях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spacing w:before="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ind w:right="250"/>
              <w:jc w:val="center"/>
              <w:spacing w:before="9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выполнена опытно- конструкторская и/или технологическая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разработка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ind w:left="11"/>
              <w:jc w:val="center"/>
              <w:spacing w:before="9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4"/>
                <w:szCs w:val="24"/>
                <w:highlight w:val="none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осуществлена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разработка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 лабораторная проверка ключевых элементов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4"/>
                <w:szCs w:val="24"/>
                <w:highlight w:val="none"/>
              </w:rPr>
              <w:t xml:space="preserve">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Значимость проекта для социально-экономического развития Новосибирской 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бласти: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медицинское изделие, лекарственное средство и медицинская технология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относится к критическим технологиям, включенным в Перечень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важнейших наукоемких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технологий,  утвержденный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Указом Президента Российской Федерации от 18.06.2024 № 529</w:t>
            </w: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продукция находится в реестре инновационной, в том числе нанотехнологической, продукции, производимой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 Новосибирской области, сформированном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 соответствии с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Порядком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формирования и ведения реестра инновационной, в том числе нанотехнологической, продукции, производимой в Новосибирской области,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установленным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постановлением Правительства Новосибирской области от 11.10.2016 № 335-п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организация зарегистрирована в сети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Интернет» на сайте федерального центра компетенций в сфере производительности труда по видам экономической деятельности (https://производительность.рф)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Наличие условий для разработки и производс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ва медицинских изделий, лекарственных средств, медицинских технологий, соответствующих требованиям профильных российских и (или) международных стандартов, директив, технических регламентов либо нормативных правовых актов Правительства Российской Федерации: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есть собственное производство, соответствует требованиям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5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есть собственное помещение, соответствует требованиям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75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предполагается аренда помещения, соответствует требованиям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5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ff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Медицинское изделие, лекарственное средство и медицинская технология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являются аналогом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включеной в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ff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еречень товаров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отношении которых устанавливается ограничение закупок для обеспечения государственных и муниципальных нужд, закупок отдельными видами юридических лиц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приложение № 2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 23.12.2024 № 1875)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:</w:t>
            </w:r>
            <w:r>
              <w:rPr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входят в перечень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9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не входят в перечень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6.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Оценка планируемого срока окупаемости бюджетных средств по данному проекту  с момента их получения: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до 1 года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0,2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до 2 лет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более 2 лет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7.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Заявитель является участником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Сибирского биотехнологического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научно-образовательного центра (СиббиоНОЦ):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да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7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нет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8.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Опыт по освоению производства инновационной продукции и продвижению ее на рынок: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 организации есть успешный опыт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0,05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 организации отсутствует опыт, но есть специалисты, имеющие опыт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 организации отсутствует опыт и специалисты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16.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инистерство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ранжирует заявки (за исключением заявок, отклоненных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соответствии Правилами отбора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данных из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 карты проекта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установленной в Приложении к Перечню документов форме,  которые ранжируются в порядке убывания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суммарного количества набранных баллов, присвоенных по результатам оценки заявок. Заявкам присваиваются порядковые номера начиная с заявки, которая получила наибольшее количество баллов.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равного количества баллов меньший порядковый номер присваивается заявке, которая поступила ранее.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contextualSpacing w:val="0"/>
        <w:ind w:firstLine="54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если суммарный объем субсидий по заявкам на предоставление субсидии превышает объем лимитов бюджетных обязательств, утвержденных на соответствующий вид субсидии, субсидии предоставляются по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аявкам, имеющим более высокий порядковый номер.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0"/>
        <w:jc w:val="both"/>
        <w:spacing w:before="0" w:after="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Размер предоставляемой субсидии определяется в соответствии со следующей таблицей: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8"/>
        <w:gridCol w:w="3119"/>
        <w:gridCol w:w="1843"/>
        <w:gridCol w:w="1984"/>
        <w:gridCol w:w="1984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Merge w:val="restart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№ п/п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Направления предоставления субсидий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Количество набранных баллов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Merge w:val="continue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pP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  <w:r>
              <w:rPr>
                <w:rFonts w:ascii="Arial" w:hAnsi="Arial" w:eastAsia="Arial" w:cs="Arial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14,99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 баллов и менее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от 15 до 56,25 балл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ов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56, 26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балла и более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</w:tr>
      <w:tr>
        <w:tblPrEx/>
        <w:trPr>
          <w:jc w:val="left"/>
          <w:trHeight w:val="18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1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7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На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субсидия не предоставляется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предоставление субсидий в размере 25% (без учета НДС) от величины затрат, но не более 1,6 млн рублей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предоставление субсидий в размере 50%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(без учета НДС)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 от величины затрат, но не более 2,6 млн рублей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2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873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На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субсидия не предоставляется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предоставление субсидий в размере 25%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(без учета НДС)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 от величины затрат, но не более 1,6 млн рублей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73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pP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предоставление субсидий в размере 50% 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(без учета НДС)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24"/>
                <w:szCs w:val="20"/>
                <w:highlight w:val="none"/>
                <w:lang w:val="ru-RU"/>
              </w:rPr>
              <w:t xml:space="preserve"> от величины затрат, но не более 2,6 млн рублей</w:t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  <w:r>
              <w:rPr>
                <w:rFonts w:ascii="TimesNewRoman" w:hAnsi="TimesNewRoman" w:eastAsia="TimesNewRoman" w:cs="TimesNewRoman"/>
                <w:b w:val="0"/>
                <w:i w:val="0"/>
                <w:strike w:val="0"/>
                <w:color w:val="000000" w:themeColor="text1"/>
                <w:sz w:val="40"/>
                <w:szCs w:val="20"/>
                <w:highlight w:val="none"/>
              </w:rPr>
            </w:r>
          </w:p>
        </w:tc>
      </w:tr>
    </w:tbl>
    <w:p>
      <w:pPr>
        <w:pStyle w:val="873"/>
        <w:ind w:firstLine="709"/>
        <w:jc w:val="both"/>
        <w:spacing w:before="0" w:beforeAutospacing="1" w:after="0" w:line="240" w:lineRule="auto"/>
        <w:rPr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1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8. Рез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ультатами предоставления субсидий (далее – результаты) являются:</w:t>
      </w:r>
      <w:r>
        <w:rPr>
          <w:color w:val="000000" w:themeColor="text1"/>
          <w:sz w:val="24"/>
          <w:szCs w:val="20"/>
          <w:highlight w:val="none"/>
        </w:rPr>
      </w:r>
      <w:r>
        <w:rPr>
          <w:color w:val="000000" w:themeColor="text1"/>
          <w:sz w:val="24"/>
          <w:szCs w:val="20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i w:val="0"/>
          <w:iCs w:val="0"/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1) проведение доклинических (в том числе технических и/или токсикологических) и/или клинических испытаний/исследований медицинских изделий, лекарственных средств и медицинских технологий орг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анизациями 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(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при предоставлении субсидий на возмещение части затрат на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);</w:t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i w:val="0"/>
          <w:iCs w:val="0"/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2) разработка и изготовление видов образцов продукции медицинских изделий, лекарственных средств и медицинских технолог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ий, готовых к обязательным видам испытаний (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при предоставлении субсидий на возмещение части затрат на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);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4"/>
          <w:szCs w:val="20"/>
          <w:highlight w:val="none"/>
        </w:rPr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4"/>
          <w:szCs w:val="2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3)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о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формление одного из способов правовой охраны результатов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интеллектуальной деятельности, предусмотренных статьей 1225 Гражданского кодекса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Российской Федерации,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года получения субсидии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: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регистрация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сведений 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результатах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единой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соответствии с </w:t>
      </w:r>
      <w:hyperlink r:id="rId12" w:tooltip="https://login.consultant.ru/link/?req=doc&amp;base=LAW&amp;n=496275&amp;date=10.07.2025" w:history="1"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по</w:t>
        </w:r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с</w:t>
        </w:r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 Российской Федерации от 12.04.2013 № 327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подача заявки на получение патента или свидетельства в Федеральное государственное бюджетное учреждение «Федеральный институт промышленной собственности»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секрет производства (ноу-хау), оформленный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внутренними нормативными актами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тайны;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4) запуск в серийное производство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медицинских изделий, лекарственных средств и медицинских технологий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по которым предоставлена государственная поддержка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40"/>
          <w:szCs w:val="40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19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.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Характеристиками результатов (далее – характеристики) являются:</w:t>
      </w:r>
      <w:r>
        <w:rPr>
          <w:color w:val="000000" w:themeColor="text1"/>
          <w:sz w:val="24"/>
          <w:szCs w:val="20"/>
          <w:highlight w:val="none"/>
        </w:rPr>
      </w:r>
      <w:r>
        <w:rPr>
          <w:color w:val="000000" w:themeColor="text1"/>
          <w:sz w:val="24"/>
          <w:szCs w:val="20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i w:val="0"/>
          <w:iCs w:val="0"/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1) количество доклинических (в том числе технических и/или токсикологических) и/или клинических испытаний/исследований медицинских изделий, лекарственных средств и медицинских технологий, проведенных орг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анизациями (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при предоставлении субсидий на возмещение части затрат на проведенные доклинические (в том числе технические и/или токсикологические) и/или клинические испытания/исследования медицинских изделий, лекарственных средств и медицинских технологий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);</w:t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i w:val="0"/>
          <w:iCs w:val="0"/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2) количество разработанных и изготовленных видов образцов продукции медицинских изделий, лекарственных средств и медицинских технолог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ий, готовых к обязательным видам испытаний (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при предоставлении субсидий на возмещение части затрат на разработку и производство образцов продукции медицинских изделий, лекарственных средств и медицинских технологий, готовых к обязательным видам испытаний</w:t>
      </w:r>
      <w:r>
        <w:rPr>
          <w:rFonts w:ascii="TimesNewRoman" w:hAnsi="TimesNewRoman" w:eastAsia="TimesNewRoman" w:cs="TimesNewRoman"/>
          <w:i w:val="0"/>
          <w:iCs w:val="0"/>
          <w:color w:val="000000" w:themeColor="text1"/>
          <w:sz w:val="28"/>
          <w:szCs w:val="20"/>
          <w:highlight w:val="none"/>
          <w:lang w:val="ru-RU"/>
        </w:rPr>
        <w:t xml:space="preserve">);</w:t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  <w:r>
        <w:rPr>
          <w:i w:val="0"/>
          <w:iCs w:val="0"/>
          <w:color w:val="000000" w:themeColor="text1"/>
          <w:sz w:val="24"/>
          <w:szCs w:val="2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32"/>
          <w:szCs w:val="32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3)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количество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оформленных способов правовой охраны результатов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интеллектуальной деятельности, предусмотренных статьей Гражданским кодексом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Российской Федерации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:</w:t>
      </w:r>
      <w:r>
        <w:rPr>
          <w:rFonts w:ascii="TimesNewRoman" w:hAnsi="TimesNewRoman" w:eastAsia="TimesNewRoman" w:cs="TimesNewRoman"/>
          <w:color w:val="000000" w:themeColor="text1"/>
          <w:sz w:val="32"/>
          <w:szCs w:val="32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32"/>
          <w:szCs w:val="32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информационная карта о регистрации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результатов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в единой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в соответствии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 </w:t>
      </w:r>
      <w:hyperlink r:id="rId13" w:tooltip="https://login.consultant.ru/link/?req=doc&amp;base=LAW&amp;n=496275&amp;date=10.07.2025" w:history="1"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2"/>
            <w:highlight w:val="none"/>
            <w:u w:val="none"/>
          </w:rPr>
          <w:t xml:space="preserve">постановлением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 Правительства Российской Федерации от 12.04.2013 № 327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з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аяв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ка на получение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патента или свидетельства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, поданная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Федеральное государственное бюджетное учреждение «Федеральный институт промышленной собственности»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;</w:t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секрет производст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ва (ноу-хау), оформленный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внутренними нормативными актами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4) количество запущенных в серийное производство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медицинских изделий, лекарственных средств и медицинских технологий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по которым предоставлена государственная поддержка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Министерство устанавливает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результатов и характеристик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Соглашении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 предоставлении субсидии (далее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Соглашение)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4"/>
          <w:szCs w:val="20"/>
          <w:highlight w:val="none"/>
          <w:lang w:val="ru-RU"/>
        </w:rPr>
      </w:r>
      <w:bookmarkStart w:id="0" w:name="undefined"/>
      <w:r>
        <w:rPr>
          <w:color w:val="000000" w:themeColor="text1"/>
          <w:sz w:val="24"/>
          <w:szCs w:val="20"/>
          <w:highlight w:val="none"/>
          <w:lang w:val="ru-RU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оглашение заключается между министерством и получателем субсидии 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десяти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календарных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со дня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подписания протокола поведения отбора.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Соглашение (дополнительное соглашение к Соглашению) за счет средств областного бюджета заключается 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ГИИС «Электронный бюджет»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соответствии с типовой формой, утвержденной приказом министерства финансов и налоговой политики Новосибирской области от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27.12.2016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80-НПА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Об утверждении типовых форм соглашений (договоров) о предоставлении из областного бюджета Новосибирской области субсидий юридическим лицам (за исключением 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государственным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произ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водителям товаров, работ, услуг»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форма соглашения, утвержденная приказом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80-НПА)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Соглашении в том числе должны содержаться: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значения результатов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и характери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стик, установленные в пунктах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19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размер субсидии;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график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перечисления субсидии;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сроки и формы представления получателем субсидии дополнительной отчетности.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как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главному распорядителю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бюджетных средств ранее доведенных лимитов бюджетных обязательств, указанных в пункте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настоящего Порядка, приводящего к невозможности предоставления субсидии в размер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е, определенном в Соглашении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Перечисление субсидии осуществляется единовременно не позднее десятого рабочего дня, следующего за днем принятия решения о предоставлении субсидии.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бсидии перечисляются с лицевого счета министерства, открытого в Управлении Федерального казначейства по Новосибирской области, на расчетный счет получателя субсидии, открытый в учреждениях Центрального банка Российской Федерации или кредитных организациях.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реорганизации получателя субсидии, являющегося юридическим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реорганизации получателя субсидии, являющегося юридическим 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одностороннем порядке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73"/>
        <w:ind w:firstLine="709"/>
        <w:jc w:val="center"/>
        <w:spacing w:before="0" w:after="0" w:line="240" w:lineRule="auto"/>
        <w:rPr>
          <w:b/>
          <w:i w:val="0"/>
          <w:color w:val="000000" w:themeColor="text1"/>
          <w:sz w:val="24"/>
          <w:szCs w:val="20"/>
          <w:highlight w:val="none"/>
        </w:rPr>
      </w:pPr>
      <w:r>
        <w:rPr>
          <w:rFonts w:ascii="TimesNewRoman" w:hAnsi="TimesNewRoman" w:eastAsia="TimesNewRoman" w:cs="TimesNewRoman"/>
          <w:b/>
          <w:i w:val="0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en-US"/>
        </w:rPr>
        <w:t xml:space="preserve">II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NewRoman" w:hAnsi="TimesNewRoman" w:eastAsia="TimesNewRoman" w:cs="TimesNewRoman"/>
          <w:b/>
          <w:i w:val="0"/>
          <w:color w:val="000000" w:themeColor="text1"/>
          <w:sz w:val="28"/>
          <w:szCs w:val="20"/>
          <w:highlight w:val="none"/>
          <w:lang w:val="ru-RU"/>
        </w:rPr>
        <w:t xml:space="preserve">Требования к отчетности</w:t>
      </w:r>
      <w:r>
        <w:rPr>
          <w:b/>
          <w:i w:val="0"/>
          <w:color w:val="000000" w:themeColor="text1"/>
          <w:sz w:val="24"/>
          <w:szCs w:val="20"/>
          <w:highlight w:val="none"/>
        </w:rPr>
      </w:r>
      <w:r>
        <w:rPr>
          <w:b/>
          <w:i w:val="0"/>
          <w:color w:val="000000" w:themeColor="text1"/>
          <w:sz w:val="24"/>
          <w:szCs w:val="20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лучатели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представляют в ГИИС «Электронный бюджет»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 течение трех лет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получения субсидии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отчет о достижении значений результатов и характеристик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трех лет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ежеквартально не позднее пятого рабочего дня месяца,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ледующего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отчетным кварталом;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 итогам года в срок 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30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марта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год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а, следующего за отчетным годом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начиная с года, следующего за годом получения субсидии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) дополнительную отчетность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(документы на бумажном носителе, преобразованные в электронную форму путем сканирования) в срок, установленный Соглашением: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ff0000" w:themeColor="text1"/>
          <w:sz w:val="40"/>
          <w:szCs w:val="4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а)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для подтверждения наличия одного из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оформленных способов правовой охраны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результатов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интеллектуальной деятельности, предусмотренных статьей 1225 Гражданского кодекса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Российской Федерации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:</w:t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копия регистрационной карты, подтверждающая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регистрацию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результатов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в единой государственной информационной 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в 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 с </w:t>
      </w:r>
      <w:hyperlink r:id="rId14" w:tooltip="https://login.consultant.ru/link/?req=doc&amp;base=LAW&amp;n=496275&amp;date=10.07.2025" w:history="1">
        <w:r>
          <w:rPr>
            <w:rStyle w:val="876"/>
            <w:rFonts w:ascii="Times New Roman" w:hAnsi="Times New Roman" w:eastAsia="Times New Roman" w:cs="Times New Roman"/>
            <w:color w:val="000000" w:themeColor="text1"/>
            <w:sz w:val="28"/>
            <w:szCs w:val="22"/>
            <w:highlight w:val="none"/>
            <w:u w:val="none"/>
          </w:rPr>
          <w:t xml:space="preserve">постановлением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 Правительства Российской Федерации от 12.04.2013 г. № 327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ff0000" w:themeColor="text1"/>
          <w:sz w:val="40"/>
          <w:szCs w:val="40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к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опия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з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аяв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ки на получение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патента или свидетельства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, поданная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Федеральное государственное бюджетное учреждение «Федеральный институт промышленной собственности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»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  <w:t xml:space="preserve"> 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копия (выписка)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внутреннего нормативного акта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тайны, относящейся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секрету производст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ву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40"/>
          <w:szCs w:val="40"/>
          <w:highlight w:val="none"/>
        </w:rPr>
      </w:r>
    </w:p>
    <w:p>
      <w:pPr>
        <w:ind w:firstLine="709"/>
        <w:jc w:val="both"/>
        <w:spacing w:after="0" w:line="240" w:lineRule="auto"/>
        <w:rPr>
          <w:color w:val="ff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б)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2"/>
          <w:highlight w:val="none"/>
        </w:rPr>
        <w:t xml:space="preserve">по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запуску в серийное производство </w:t>
      </w: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  <w:t xml:space="preserve">медицинских изделий, лекарственных средств и медицинских технологий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по которым предоставлена государственная поддержка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: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2"/>
          <w:highlight w:val="none"/>
        </w:rPr>
        <w:t xml:space="preserve">копия или выписка из приказа организации или иного нормативного акта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2"/>
          <w:highlight w:val="none"/>
        </w:rPr>
        <w:t xml:space="preserve"> организации о запуске в производство.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Отчет о достижении значений результатов и характеристик представляется по форме, определенной формой соглашения, утвержденной приказом 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80-НПА.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27.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нистерство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рабочих дней со дня представления получателем субсидии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отчетов, указанных в 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стоящего Порядка,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осуществляет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проверку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полноту и достоверность представленных в 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тчетах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указанных 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 25 настоящего Порядка, сведений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принятие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Достижение значений результатов определяется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путем сравнения фактически достигнутого значения результата по данным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дополнительной отчетности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арастающим итогом за три года с года получе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плановым значением результата, установленным Соглашением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29. 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результатам проверки министерство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отчеты, указанные в 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возвращает их на доработку получателю субсидии с указанием причин возврата, указанных в пунктах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30.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Возврат на доработку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отчета 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достижении значений результатов и характеристик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осуществляется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в форме отчета о достижении значений 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заполнены обязательные к заполнению графы;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наличие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технических ошибок, опечаток,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нечитаемых фрагментов;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значения результатов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 совпадают с плановыми значениями результатов, указанными в Соглашении;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фактически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достигнутые 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результа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отчете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совпадают со значениями,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дополнительной отчетности.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Возврат на доработку дополнительной отчетности осуществляется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не представлена или представлена не в полном объеме дополнительная отчетность;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наличие технических ошибок, опечаток, зачеркиваний, исправлений, нечитаемых фрагментов.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Получатель субсидии осуществляет доработку отчетов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течение пяти рабочих дней со дня получения на доработку и представляет доработанные отчеты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ГИИС «Электронный бюджет».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Министерство в течение пяти рабочих дней со дня истечения срока, указанного в абзаце перв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ом настоящего пункта, осуществляет проверку доработанных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после чего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доработанные отчеты,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18, 19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направляет их на повторную доработку в порядке, предусмотренном пунктами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29-31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Получатели субсидий несут ответственность за достоверность представленных сведений об использовании субсидий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действующим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V. Требования об осуществлении контроля (мониторинга)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за соблюдением условий и порядка предоставления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субсидий и ответственности за их нарушение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предоставлении субсидий проводится проверка министерством соблюдения условий и порядка предоставления субсидий, в том числе в части достижения 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езультата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а также проверка органами государственного финансового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контроля в соответствии со статьями 268.1 и 269.2 Бюджетного кодекса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Контроль за соблюдением получателем субсидии условий и порядка предоставления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убсидии, в том числе в части достижения резуль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тата,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рством путем проведения плановых и (или) внеплановых проверок.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проверки проводятся по месту нахождения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на основании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36. 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неплановые проверки проводятся по месту нахождения получателя субсидии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месту нахождения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приказа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непредставле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получателем субсидии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установления при проверке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факта представления получателем субсидии недостоверных сведений;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3) выявления нарушений получателем субсидий порядка и условий предоставления субсидий при проведении проверок органами государственного финансового контроля;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поступления в министерство от правоохранительных органов, органов государственной власти, юридических, физических лиц информации (кроме анонимных сообщений) о нарушении получателями субсидий порядка и условий предоставления субси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37. 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Получатель субсидии несет ответственность за нарушение условий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порядка предоставления субс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идий в соответствии с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Субсидии подлежат возврату получателем субсидии в доход областного бюджета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4"/>
          <w:szCs w:val="20"/>
          <w:highlight w:val="none"/>
          <w:lang w:val="ru-RU"/>
        </w:rPr>
      </w:r>
      <w:bookmarkStart w:id="0" w:name="undefined"/>
      <w:r>
        <w:rPr>
          <w:color w:val="000000" w:themeColor="text1"/>
          <w:sz w:val="24"/>
          <w:szCs w:val="20"/>
          <w:highlight w:val="none"/>
          <w:lang w:val="ru-RU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нарушения получателем субсидии условий предост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авления субсидий, выявленного,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том числе по фактам проверок, проведенных министерством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органом государственного финансового контроля;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4"/>
          <w:szCs w:val="20"/>
          <w:highlight w:val="none"/>
          <w:lang w:val="ru-RU"/>
        </w:rPr>
      </w:r>
      <w:bookmarkStart w:id="0" w:name="undefined"/>
      <w:r>
        <w:rPr>
          <w:color w:val="000000" w:themeColor="text1"/>
          <w:sz w:val="24"/>
          <w:szCs w:val="20"/>
          <w:highlight w:val="none"/>
          <w:lang w:val="ru-RU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недостижения значений результатов, установленных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ах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19 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39. 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Министерство в течение десяти рабочих дней направляет получателю субсидии письменное уведомление о возврате в доход областного бюджета суммы денежных средств субсидии, полученной из областного бюджета в соответствии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настоящим Порядком (далее </w:t>
      </w:r>
      <w:r>
        <w:rPr>
          <w:rFonts w:ascii="Times New Roman" w:hAnsi="Times New Roman"/>
          <w:color w:val="000000" w:themeColor="text1"/>
          <w:sz w:val="28"/>
          <w:szCs w:val="20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уведомление):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4"/>
          <w:szCs w:val="20"/>
          <w:highlight w:val="none"/>
          <w:lang w:val="ru-RU"/>
        </w:rPr>
      </w:r>
      <w:bookmarkStart w:id="0" w:name="undefined"/>
      <w:r>
        <w:rPr>
          <w:color w:val="000000" w:themeColor="text1"/>
          <w:sz w:val="24"/>
          <w:szCs w:val="20"/>
          <w:highlight w:val="none"/>
          <w:lang w:val="ru-RU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случае, установленном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подпунктом 1 пунк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настоящего Порядка, </w:t>
      </w:r>
      <w:r>
        <w:rPr>
          <w:rFonts w:ascii="Times New Roman" w:hAnsi="Times New Roman"/>
          <w:color w:val="000000" w:themeColor="text1"/>
          <w:sz w:val="28"/>
          <w:szCs w:val="20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дня выявления факта нарушения условий предоставления субсидий;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4"/>
          <w:szCs w:val="20"/>
          <w:highlight w:val="none"/>
          <w:lang w:val="ru-RU"/>
        </w:rPr>
      </w:r>
      <w:bookmarkStart w:id="0" w:name="undefined"/>
      <w:r>
        <w:rPr>
          <w:color w:val="000000" w:themeColor="text1"/>
          <w:sz w:val="24"/>
          <w:szCs w:val="20"/>
          <w:highlight w:val="none"/>
          <w:lang w:val="ru-RU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случае, установленном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подпунктом 2 пункта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настоящего Порядка, </w:t>
      </w:r>
      <w:r>
        <w:rPr>
          <w:rFonts w:ascii="Times New Roman" w:hAnsi="Times New Roman"/>
          <w:color w:val="000000" w:themeColor="text1"/>
          <w:sz w:val="28"/>
          <w:szCs w:val="20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со дня выявления факта недостижения значений результатов.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Получатель субсидии обязан не позднее 20 рабочих дней со дня получения соответствующего уведомления перечислить денежные средства 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доход областного бюджета.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случае отказа от добровольного возврата взыскание денежных средств осуществляется в соответствии с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предоставлении субсидии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инистерством проводится мониторинг достижения результат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предоставления субсидии, определенн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ых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соглашением,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событий, отражающих факт завершения соответствующего мероприятия по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получению результата предоставления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субсидии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(контрольная точка), в порядке и по формам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утвержденным приказом Министерства финансов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27.04.2024 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</w:t>
      </w:r>
      <w:r>
        <w:rPr>
          <w:rFonts w:ascii="Times New Roman" w:hAnsi="Times New Roman"/>
          <w:color w:val="000000" w:themeColor="text1"/>
          <w:sz w:val="28"/>
          <w:szCs w:val="20"/>
          <w:highlight w:val="none"/>
          <w:lang w:val="ru-RU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производителям товаров, работ, услуг»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  <w:r>
        <w:rPr>
          <w:rFonts w:ascii="Times New Roman" w:hAnsi="Times New Roman" w:cs="Times New Roman"/>
          <w:color w:val="000000" w:themeColor="text1"/>
          <w:sz w:val="44"/>
          <w:szCs w:val="4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ПРИЛОЖЕНИЕ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  <w:lang w:val="ru-RU"/>
        </w:rPr>
        <w:t xml:space="preserve">пр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  <w:lang w:val="ru-RU"/>
        </w:rPr>
        <w:t xml:space="preserve">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 субсидий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организациям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медицинской промышленности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рамках реализации мероприятий государственной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  <w14:ligatures w14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«Развитие промышленности и повышение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ее конкурентоспособности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Новосибирской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ПЕРЕЧЕНЬ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73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документов, представляемых</w:t>
      </w:r>
      <w:r>
        <w:rPr>
          <w:rFonts w:ascii="TimesNewRoman" w:hAnsi="TimesNewRoman" w:eastAsia="TimesNewRoman" w:cs="TimesNewRoman"/>
          <w:b/>
          <w:color w:val="000000" w:themeColor="text1"/>
          <w:sz w:val="28"/>
          <w:szCs w:val="28"/>
          <w:highlight w:val="none"/>
          <w:lang w:val="ru-RU"/>
        </w:rPr>
        <w:t xml:space="preserve"> организациями медицинской </w:t>
      </w:r>
      <w:r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b/>
          <w:color w:val="000000" w:themeColor="text1"/>
          <w:sz w:val="28"/>
          <w:szCs w:val="28"/>
          <w:highlight w:val="none"/>
          <w:lang w:val="ru-RU"/>
        </w:rPr>
        <w:t xml:space="preserve">промышленности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, претендующими на предоставление им субсидий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из областного бюджета Новосибирской области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в рамках реализации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 мероприятий государственной программы Новосибирской области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«Развитие промышленности и повышение ее конкурентоспособности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в Новосибирской области»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, и требования к ним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1. Документ, подтверждающий полномочия лиц на осуществление действий от имени организации, в случае, если от имени организации действует его уполномоченный представитель;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ff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2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План-г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рафик работ по проекту по форме согласно приложению № 1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к настоящему Перечню.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ff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3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П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лан финансирования работ по проекту по форме согласно прил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ожению № 2 к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настоящему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П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еречню.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Копия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проекта, заверенная подписью уполномоченного лица и печатью (при наличии печати).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ff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нформационная карта проекта по форме согласно приложению № 3 к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настоящему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Пере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чню.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ff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6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Ко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пия документа (лицензия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vertAlign w:val="superscript"/>
          <w:lang w:val="ru-RU"/>
        </w:rPr>
        <w:footnoteReference w:id="2"/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, сертификат, друго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е), подтверждающего право организации на осуществление деятельности, указанной в проекте (в случае необходимости), в соответствии с действующим законодательством Российской Федерации, заверенная подписью уполномоченного лица и печатью (при наличии п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ечати).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color w:val="ff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7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Реест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р платежных документов, подтверждающих оплату затрат, связанных с реализацией проекта (за период не более 2-х лет), по форме согласно приложению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№ 4 к настоящему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Перечню.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8. 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Копии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договоров и первичных учетных документов (счетов-факт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ур,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актов сдачи-приемки выполненных работ, товарных накладных, платежных ведомостей, платежных поручений), подтверждающих осуществление затрат по проекту (за период не более 2-х лет), заверенные подписью уполномоченного лица и печатью (при наличии печати).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9. Копии документов о численности и заработной плате работников (форма федерального статистического наблюдения № П-4, для малых предприятий - форма федерального статистического наблюдения № ПМ) за отчетные периоды с начала текущего года;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10. Информация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явля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ется ли организация резидентом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Сибирского биотехнологического научно-образовательного центра (СиббиоНОЦ)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contextualSpacing/>
        <w:ind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о регист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рации организации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информационно-телекоммуникационной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сети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«Интернет» на сайте федерального центра компетенций в сфере производительности труда по видам экономической деятельности (</w:t>
      </w:r>
      <w:hyperlink r:id="rId15" w:tooltip="https://производительность.рф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single"/>
            <w:lang w:val="ru-RU"/>
          </w:rPr>
          <w:t xml:space="preserve">https://производительность.рф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относитс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я ли продукция к критическим технологиям, включенным в Перече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нь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важнейших наукоемких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технологий,  утвержденный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Указом Президента Российской Федерации от 18.06.2024 № 529;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о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ахождении продукции по заявленному проекту в реестре инновационной, в том числе нанотехнологической, продукции, производимой в Новосибирской области,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сформированном в соответствии с Порядком формирования и ведения реестра инновационной, в том числе нанотехнологической, продукции, производимой в Новосибирской области,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постановлением Правительства Новосибирской области от 11.10.2016 № 335-п;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5) включена ли продукция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еречень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отношении которых устанавливается ограничение закупок для обеспечения государственных и муниципальных нужд, закупок отдельными видами юридических лиц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№ 2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постановлению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23.12.2024 г. № 1875).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риншот экрана, подтверждающий регист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рацию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организации,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подающей заявку на участие в отборе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в государственной информационной системе промышленности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информационно-телекоммуникационной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сети «Интернет» (https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://gisp.gov.ru).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№ 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документов, представляемых организациями медицинской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промышленности,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 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Новосибирской области», и требования к ним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1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План-график работ по проекту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(наименование проекта)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2211"/>
        <w:gridCol w:w="1077"/>
        <w:gridCol w:w="1530"/>
        <w:gridCol w:w="1304"/>
      </w:tblGrid>
      <w:tr>
        <w:tblPrEx/>
        <w:trPr/>
        <w:tc>
          <w:tcPr>
            <w:tcW w:w="147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Номер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1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Перечень работ и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Сроки выполнения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Контрольные показатели и документы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Ожидаемые конечные результаты реализации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47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Последовательно указываются этапы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 должно отражать суть выполняемых на этапе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1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В хронологическом порядке указываются работы и мероприятия в привязке к последовательности работ и мероприятий, предусмотренных стадиями и этапами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Указываются для каждого этапа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Перечень документов и объектов, создаваемых на этапе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</w:tbl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Приложение № 2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документов, представляемых организациями медицинской 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промышленности,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 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 Новосибирской области», и требования к ним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spacing w:after="1"/>
        <w:rPr>
          <w:rFonts w:ascii="Times New Roman" w:hAnsi="Times New Roman" w:cs="Times New Roman"/>
          <w:color w:val="000000" w:themeColor="text1"/>
          <w:sz w:val="40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32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План финансирования работ по проекту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_________________________________________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(наименование проекта)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84"/>
        <w:gridCol w:w="1700"/>
        <w:gridCol w:w="1531"/>
      </w:tblGrid>
      <w:tr>
        <w:tblPrEx/>
        <w:trPr/>
        <w:tc>
          <w:tcPr>
            <w:tcW w:w="192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Номер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Перечень работ и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Цена выполняемых работ и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Сроки оплаты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92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Последовательно указываются этапы в соответствии с планом-графиком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 указывается в соответствии с планом-графиком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Указываются работы, выполняемые в соответствии с планом-графиком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Указывается в тыс. рублей для каждой работы (мероприятия) отдельно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Указываются месяц и год оплаты каждого этапа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</w:tbl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Приложение № 3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документов, представляемых организациями медицинской 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промышленности,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 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 Новосибирской области», и требования к ним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Информационная карта проекта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Информационная карта является формой представления организацией сведений о проекте и должна соответствовать требованиям, сформулированным в пунктах разделов настоящей информационной карты.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Представляемые организацией сведения должны быть достаточными для оценки заявок конкурсной комиссией.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1. Общие сведения: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наименование проекта;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цель и задачи проекта.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2. Описание продукции (работ, услуг):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назначение и возможные сферы использования;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основные характеристики, новизна технических и технологических решений, сильные и слабые стороны, конкурентоспособность;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количество патентов, авторских свидетельства, секретов производства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у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 указанием регистрационного номера патента/свидетельств,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регистрационного ном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ра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диной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системе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учета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научно-исследовательских, опытно-конструкторских и технологических работ гражданского назначения, реквизиты внутреннего нормативно-правового акта организации в части правовой охраны секретов производства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);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какой стадии находится реализация проекта на момент предоставления субсидии:</w:t>
        <w:tab/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организовано полномасштабное производство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осуществлен выпуск опытных изделий, их экспертиза и сертификация;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заводские испытания опытно- промышленного образца;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испытания опытного образца в критических условиях;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испытания изготовленных опытных образцов, технологических процессов в реальных условиях;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выполнена опытно- конструкторская и/или технологическая разработка;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numPr>
          <w:ilvl w:val="0"/>
          <w:numId w:val="4"/>
        </w:numPr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осуществлена разработка и лабораторная проверка ключевых элементов технологии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3. Производственный план: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планируемый cрок начала производства инновационной продукции по проекту и вывод на рынок;</w:t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наличие собственного производства/помещений или арендуемых помещений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firstLine="0"/>
        <w:jc w:val="left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</w:p>
    <w:p>
      <w:pPr>
        <w:ind w:left="567" w:right="0" w:firstLine="0"/>
        <w:jc w:val="left"/>
        <w:spacing w:before="0" w:after="0" w:line="240" w:lineRule="auto"/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наличие у компании опыта по освоению производства иной инновационной продукции и продвижению ее на рынок; </w:t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4. Финансовый план: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spacing w:before="22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оценка планируемого срока (год) окупаемости бюджетных средств по данному проекту  с момента их получения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sz w:val="24"/>
          <w:szCs w:val="22"/>
          <w:highlight w:val="none"/>
        </w:rPr>
      </w:pPr>
      <w:r>
        <w:rPr>
          <w:color w:val="000000" w:themeColor="text1"/>
          <w:sz w:val="24"/>
          <w:szCs w:val="22"/>
          <w:highlight w:val="none"/>
        </w:rPr>
      </w:r>
      <w:r>
        <w:rPr>
          <w:color w:val="000000" w:themeColor="text1"/>
          <w:sz w:val="24"/>
          <w:szCs w:val="22"/>
          <w:highlight w:val="none"/>
        </w:rPr>
      </w:r>
      <w:r>
        <w:rPr>
          <w:color w:val="000000" w:themeColor="text1"/>
          <w:sz w:val="24"/>
          <w:szCs w:val="22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ind w:firstLine="540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rPr>
          <w:color w:val="000000" w:themeColor="text1"/>
          <w:highlight w:val="none"/>
        </w:rPr>
        <w:sectPr>
          <w:footnotePr/>
          <w:endnotePr/>
          <w:type w:val="nextPage"/>
          <w:pgSz w:w="11905" w:h="16838" w:orient="portrait"/>
          <w:pgMar w:top="1134" w:right="850" w:bottom="1134" w:left="1701" w:header="709" w:footer="709" w:gutter="0"/>
          <w:cols w:num="1" w:sep="0" w:space="720" w:equalWidth="1"/>
          <w:docGrid w:linePitch="360"/>
        </w:sect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ff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0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риложение № 4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документов, представляемых организациями медицинской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промышленности,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 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Новосибирской области», и требования к ним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94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Реестр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платежных документов, подтверждающих оплату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затрат, связанных с реализацией проекта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(за период не более 2-х лет)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94"/>
        <w:jc w:val="center"/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                                                                          (наименование проекта)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(тыс. рублей)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</w:r>
    </w:p>
    <w:tbl>
      <w:tblPr>
        <w:tblW w:w="0" w:type="auto"/>
        <w:tblInd w:w="6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2268"/>
        <w:gridCol w:w="992"/>
        <w:gridCol w:w="1701"/>
        <w:gridCol w:w="1417"/>
        <w:gridCol w:w="1843"/>
        <w:gridCol w:w="2268"/>
      </w:tblGrid>
      <w:tr>
        <w:tblPrEx/>
        <w:trPr/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Наименование статьи расходов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Объем фактически произведенных расходов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Наименования организаций, с которыми заключены договоры, даты и номера таких договоров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Предмет договора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Реквизиты документа, являющегося основанием для перечисления средств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Реквизиты платежного поручения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Фактически оплачено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Наименование этапа плана-графика, согласно которому произведена оплата затрат в соответствии с проектом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>
          <w:trHeight w:val="261"/>
        </w:trPr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>
          <w:trHeight w:val="292"/>
        </w:trPr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>
          <w:trHeight w:val="323"/>
        </w:trPr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94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Всего,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  <w:p>
            <w:pPr>
              <w:pStyle w:val="894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</w:tbl>
    <w:p>
      <w:pPr>
        <w:pStyle w:val="894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Руководитель организации _____________ 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                           (подпись)          (расшифровка подписи)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Главный бухгалтер _____________ 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                    (подпись)          (расшифровка подписи)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Дата «____» ____________ 20__ г.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печать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9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(при наличии печат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sectPr>
      <w:headerReference w:type="default" r:id="rId9"/>
      <w:footnotePr/>
      <w:endnotePr/>
      <w:type w:val="nextPage"/>
      <w:pgSz w:w="16838" w:h="11905" w:orient="landscape"/>
      <w:pgMar w:top="851" w:right="1134" w:bottom="567" w:left="1134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7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endnote>
  <w:endnote w:type="continuationSeparator" w:id="0">
    <w:p>
      <w:pPr>
        <w:pStyle w:val="87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7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footnote>
  <w:footnote w:type="continuationSeparator" w:id="0">
    <w:p>
      <w:pPr>
        <w:pStyle w:val="87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continuationSeparator/>
      </w:r>
      <w:r>
        <w:rPr>
          <w:sz w:val="24"/>
        </w:rPr>
      </w:r>
      <w:r>
        <w:rPr>
          <w:sz w:val="24"/>
        </w:rPr>
      </w:r>
    </w:p>
  </w:footnote>
  <w:footnote w:id="2">
    <w:p>
      <w:pPr>
        <w:pStyle w:val="856"/>
        <w:jc w:val="both"/>
        <w:spacing w:before="0" w:after="40" w:line="240" w:lineRule="auto"/>
        <w:rPr>
          <w:rFonts w:ascii="TimesNewRoman" w:hAnsi="TimesNewRoman" w:eastAsia="TimesNewRoman" w:cs="TimesNewRoman"/>
          <w:sz w:val="20"/>
        </w:rPr>
      </w:pPr>
      <w:r>
        <w:rPr>
          <w:rFonts w:ascii="TimesNewRoman" w:hAnsi="TimesNewRoman" w:eastAsia="TimesNewRoman" w:cs="TimesNewRoman"/>
          <w:sz w:val="20"/>
          <w:vertAlign w:val="superscript"/>
        </w:rPr>
        <w:footnoteRef/>
      </w:r>
      <w:r>
        <w:rPr>
          <w:rFonts w:ascii="TimesNewRoman" w:hAnsi="TimesNewRoman" w:eastAsia="TimesNewRoman" w:cs="TimesNewRoman"/>
          <w:sz w:val="20"/>
        </w:rPr>
        <w:t xml:space="preserve"> В случае если сведения о лицензии не содержатся в Едином государственном реестре юридических лиц (для юридических лиц), Едином государственном реестре индивидуальных предпринимателей (для индивидуальных предпринимателей).</w:t>
      </w:r>
      <w:r>
        <w:rPr>
          <w:rFonts w:ascii="TimesNewRoman" w:hAnsi="TimesNewRoman" w:eastAsia="TimesNewRoman" w:cs="TimesNewRoman"/>
          <w:sz w:val="20"/>
        </w:rPr>
      </w:r>
      <w:r>
        <w:rPr>
          <w:rFonts w:ascii="TimesNewRoman" w:hAnsi="TimesNewRoman" w:eastAsia="TimesNewRoman" w:cs="TimesNewRoman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TimesNewRoman" w:hAnsi="TimesNewRoman" w:eastAsia="TimesNewRoman" w:cs="TimesNewRoman"/>
        <w:sz w:val="24"/>
      </w:rPr>
    </w:pPr>
    <w:r>
      <w:rPr>
        <w:rFonts w:ascii="TimesNewRoman" w:hAnsi="TimesNewRoman" w:eastAsia="TimesNewRoman" w:cs="TimesNewRoman"/>
        <w:sz w:val="20"/>
      </w:rPr>
      <w:fldChar w:fldCharType="begin"/>
    </w:r>
    <w:r>
      <w:rPr>
        <w:rFonts w:ascii="TimesNewRoman" w:hAnsi="TimesNewRoman" w:eastAsia="TimesNewRoman" w:cs="TimesNewRoman"/>
        <w:sz w:val="20"/>
      </w:rPr>
      <w:instrText xml:space="preserve">PAGE   \* MERGEFORMAT</w:instrText>
    </w:r>
    <w:r>
      <w:fldChar w:fldCharType="separate"/>
    </w:r>
    <w:r>
      <w:rPr>
        <w:rFonts w:ascii="TimesNewRoman" w:hAnsi="TimesNewRoman" w:eastAsia="TimesNewRoman" w:cs="TimesNewRoman"/>
        <w:sz w:val="20"/>
      </w:rPr>
      <w:t xml:space="preserve">2</w:t>
    </w:r>
    <w:r>
      <w:fldChar w:fldCharType="end"/>
    </w:r>
    <w:r>
      <w:rPr>
        <w:rFonts w:ascii="TimesNewRoman" w:hAnsi="TimesNewRoman" w:eastAsia="TimesNewRoman" w:cs="TimesNewRoman"/>
        <w:sz w:val="24"/>
      </w:rPr>
    </w:r>
    <w:r>
      <w:rPr>
        <w:rFonts w:ascii="TimesNewRoman" w:hAnsi="TimesNewRoman" w:eastAsia="TimesNewRoman" w:cs="TimesNewRoman"/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6"/>
      <w:numFmt w:val="bullet"/>
      <w:isLgl w:val="false"/>
      <w:suff w:val="tab"/>
      <w:lvlText w:val="·"/>
      <w:lvlJc w:val="left"/>
      <w:pPr>
        <w:ind w:hanging="360"/>
      </w:pPr>
    </w:lvl>
    <w:lvl w:ilvl="1">
      <w:start w:val="1"/>
      <w:numFmt w:val="bullet"/>
      <w:isLgl w:val="false"/>
      <w:suff w:val="tab"/>
      <w:lvlText w:val="o"/>
      <w:lvlJc w:val="left"/>
      <w:pPr>
        <w:ind w:hanging="360"/>
      </w:pPr>
    </w:lvl>
    <w:lvl w:ilvl="2">
      <w:start w:val="1"/>
      <w:numFmt w:val="bullet"/>
      <w:isLgl w:val="false"/>
      <w:suff w:val="tab"/>
      <w:lvlText w:val="§"/>
      <w:lvlJc w:val="left"/>
      <w:pPr>
        <w:ind w:hanging="360"/>
      </w:pPr>
    </w:lvl>
    <w:lvl w:ilvl="3">
      <w:start w:val="1"/>
      <w:numFmt w:val="bullet"/>
      <w:isLgl w:val="false"/>
      <w:suff w:val="tab"/>
      <w:lvlText w:val="·"/>
      <w:lvlJc w:val="left"/>
      <w:pPr>
        <w:ind w:hanging="360"/>
      </w:pPr>
    </w:lvl>
    <w:lvl w:ilvl="4">
      <w:start w:val="1"/>
      <w:numFmt w:val="bullet"/>
      <w:isLgl w:val="false"/>
      <w:suff w:val="tab"/>
      <w:lvlText w:val="o"/>
      <w:lvlJc w:val="left"/>
      <w:pPr>
        <w:ind w:hanging="360"/>
      </w:pPr>
    </w:lvl>
    <w:lvl w:ilvl="5">
      <w:start w:val="1"/>
      <w:numFmt w:val="bullet"/>
      <w:isLgl w:val="false"/>
      <w:suff w:val="tab"/>
      <w:lvlText w:val="§"/>
      <w:lvlJc w:val="left"/>
      <w:pPr>
        <w:ind w:hanging="360"/>
      </w:pPr>
    </w:lvl>
    <w:lvl w:ilvl="6">
      <w:start w:val="1"/>
      <w:numFmt w:val="bullet"/>
      <w:isLgl w:val="false"/>
      <w:suff w:val="tab"/>
      <w:lvlText w:val="·"/>
      <w:lvlJc w:val="left"/>
      <w:pPr>
        <w:ind w:hanging="360"/>
      </w:pPr>
    </w:lvl>
    <w:lvl w:ilvl="7">
      <w:start w:val="1"/>
      <w:numFmt w:val="bullet"/>
      <w:isLgl w:val="false"/>
      <w:suff w:val="tab"/>
      <w:lvlText w:val="o"/>
      <w:lvlJc w:val="left"/>
      <w:pPr>
        <w:ind w:hanging="360"/>
      </w:pPr>
    </w:lvl>
    <w:lvl w:ilvl="8">
      <w:start w:val="1"/>
      <w:numFmt w:val="bullet"/>
      <w:isLgl w:val="false"/>
      <w:suff w:val="tab"/>
      <w:lvlText w:val="§"/>
      <w:lvlJc w:val="left"/>
      <w:pPr>
        <w:ind w:hanging="3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3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701">
    <w:name w:val="Heading 1 Char"/>
    <w:basedOn w:val="874"/>
    <w:rPr>
      <w:rFonts w:ascii="Arial" w:hAnsi="Arial" w:eastAsia="Arial" w:cs="Arial"/>
      <w:sz w:val="40"/>
    </w:rPr>
  </w:style>
  <w:style w:type="paragraph" w:styleId="702">
    <w:name w:val="Heading 2"/>
    <w:basedOn w:val="873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874"/>
    <w:rPr>
      <w:rFonts w:ascii="Arial" w:hAnsi="Arial" w:eastAsia="Arial" w:cs="Arial"/>
      <w:sz w:val="34"/>
    </w:rPr>
  </w:style>
  <w:style w:type="paragraph" w:styleId="704">
    <w:name w:val="Heading 3"/>
    <w:basedOn w:val="87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705">
    <w:name w:val="Heading 3 Char"/>
    <w:basedOn w:val="874"/>
    <w:rPr>
      <w:rFonts w:ascii="Arial" w:hAnsi="Arial" w:eastAsia="Arial" w:cs="Arial"/>
      <w:sz w:val="30"/>
    </w:rPr>
  </w:style>
  <w:style w:type="paragraph" w:styleId="706">
    <w:name w:val="Heading 4"/>
    <w:basedOn w:val="873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07">
    <w:name w:val="Heading 4 Char"/>
    <w:basedOn w:val="874"/>
    <w:rPr>
      <w:rFonts w:ascii="Arial" w:hAnsi="Arial" w:eastAsia="Arial" w:cs="Arial"/>
      <w:b/>
      <w:sz w:val="26"/>
    </w:rPr>
  </w:style>
  <w:style w:type="paragraph" w:styleId="708">
    <w:name w:val="Heading 5"/>
    <w:basedOn w:val="873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09">
    <w:name w:val="Heading 5 Char"/>
    <w:basedOn w:val="874"/>
    <w:rPr>
      <w:rFonts w:ascii="Arial" w:hAnsi="Arial" w:eastAsia="Arial" w:cs="Arial"/>
      <w:b/>
      <w:sz w:val="24"/>
    </w:rPr>
  </w:style>
  <w:style w:type="paragraph" w:styleId="710">
    <w:name w:val="Heading 6"/>
    <w:basedOn w:val="873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711">
    <w:name w:val="Heading 6 Char"/>
    <w:basedOn w:val="874"/>
    <w:rPr>
      <w:rFonts w:ascii="Arial" w:hAnsi="Arial" w:eastAsia="Arial" w:cs="Arial"/>
      <w:b/>
      <w:sz w:val="22"/>
    </w:rPr>
  </w:style>
  <w:style w:type="paragraph" w:styleId="712">
    <w:name w:val="Heading 7"/>
    <w:basedOn w:val="873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713">
    <w:name w:val="Heading 7 Char"/>
    <w:basedOn w:val="874"/>
    <w:rPr>
      <w:rFonts w:ascii="Arial" w:hAnsi="Arial" w:eastAsia="Arial" w:cs="Arial"/>
      <w:b/>
      <w:i/>
      <w:sz w:val="22"/>
    </w:rPr>
  </w:style>
  <w:style w:type="paragraph" w:styleId="714">
    <w:name w:val="Heading 8"/>
    <w:basedOn w:val="873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15">
    <w:name w:val="Heading 8 Char"/>
    <w:basedOn w:val="874"/>
    <w:rPr>
      <w:rFonts w:ascii="Arial" w:hAnsi="Arial" w:eastAsia="Arial" w:cs="Arial"/>
      <w:i/>
      <w:sz w:val="22"/>
    </w:rPr>
  </w:style>
  <w:style w:type="paragraph" w:styleId="716">
    <w:name w:val="Heading 9"/>
    <w:basedOn w:val="873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17">
    <w:name w:val="Heading 9 Char"/>
    <w:basedOn w:val="874"/>
    <w:rPr>
      <w:rFonts w:ascii="Arial" w:hAnsi="Arial" w:eastAsia="Arial" w:cs="Arial"/>
      <w:i/>
      <w:sz w:val="21"/>
    </w:rPr>
  </w:style>
  <w:style w:type="paragraph" w:styleId="718">
    <w:name w:val="No Spacing"/>
    <w:qFormat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719">
    <w:name w:val="Title"/>
    <w:basedOn w:val="873"/>
    <w:qFormat/>
    <w:pPr>
      <w:contextualSpacing/>
      <w:jc w:val="left"/>
      <w:spacing w:before="300" w:after="200" w:line="240" w:lineRule="auto"/>
    </w:pPr>
    <w:rPr>
      <w:rFonts w:ascii="Calibri" w:hAnsi="Calibri" w:eastAsia="Calibri" w:cs="Calibri"/>
      <w:sz w:val="48"/>
    </w:rPr>
  </w:style>
  <w:style w:type="character" w:styleId="720">
    <w:name w:val="Title Char"/>
    <w:basedOn w:val="874"/>
    <w:rPr>
      <w:rFonts w:ascii="Calibri" w:hAnsi="Calibri" w:eastAsia="Calibri" w:cs="Calibri"/>
      <w:sz w:val="48"/>
    </w:rPr>
  </w:style>
  <w:style w:type="paragraph" w:styleId="721">
    <w:name w:val="Subtitle"/>
    <w:basedOn w:val="873"/>
    <w:qFormat/>
    <w:pPr>
      <w:jc w:val="left"/>
      <w:spacing w:before="200" w:after="200" w:line="240" w:lineRule="auto"/>
    </w:pPr>
    <w:rPr>
      <w:rFonts w:ascii="Calibri" w:hAnsi="Calibri" w:eastAsia="Calibri" w:cs="Calibri"/>
      <w:sz w:val="24"/>
    </w:rPr>
  </w:style>
  <w:style w:type="character" w:styleId="722">
    <w:name w:val="Subtitle Char"/>
    <w:basedOn w:val="874"/>
    <w:rPr>
      <w:rFonts w:ascii="Calibri" w:hAnsi="Calibri" w:eastAsia="Calibri" w:cs="Calibri"/>
      <w:sz w:val="24"/>
    </w:rPr>
  </w:style>
  <w:style w:type="paragraph" w:styleId="723">
    <w:name w:val="Quote"/>
    <w:basedOn w:val="873"/>
    <w:qFormat/>
    <w:pPr>
      <w:ind w:left="720"/>
      <w:jc w:val="left"/>
      <w:spacing w:before="0" w:after="0" w:line="240" w:lineRule="auto"/>
    </w:pPr>
    <w:rPr>
      <w:rFonts w:ascii="Calibri" w:hAnsi="Calibri" w:eastAsia="Calibri" w:cs="Calibri"/>
      <w:i/>
      <w:sz w:val="24"/>
    </w:rPr>
  </w:style>
  <w:style w:type="character" w:styleId="724">
    <w:name w:val="Quote Char"/>
    <w:rPr>
      <w:rFonts w:ascii="Calibri" w:hAnsi="Calibri" w:eastAsia="Calibri" w:cs="Calibri"/>
      <w:i/>
      <w:sz w:val="24"/>
    </w:rPr>
  </w:style>
  <w:style w:type="paragraph" w:styleId="725">
    <w:name w:val="Intense Quote"/>
    <w:basedOn w:val="873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Calibri" w:hAnsi="Calibri" w:eastAsia="Calibri" w:cs="Calibri"/>
      <w:i/>
      <w:sz w:val="24"/>
    </w:rPr>
  </w:style>
  <w:style w:type="character" w:styleId="726">
    <w:name w:val="Intense Quote Char"/>
    <w:rPr>
      <w:rFonts w:ascii="Calibri" w:hAnsi="Calibri" w:eastAsia="Calibri" w:cs="Calibri"/>
      <w:i/>
      <w:sz w:val="24"/>
    </w:rPr>
  </w:style>
  <w:style w:type="character" w:styleId="727">
    <w:name w:val="Header Char"/>
    <w:basedOn w:val="874"/>
    <w:rPr>
      <w:rFonts w:ascii="Calibri" w:hAnsi="Calibri" w:eastAsia="Calibri" w:cs="Calibri"/>
      <w:sz w:val="24"/>
    </w:rPr>
  </w:style>
  <w:style w:type="character" w:styleId="728">
    <w:name w:val="Footer Char"/>
    <w:basedOn w:val="874"/>
    <w:rPr>
      <w:rFonts w:ascii="Calibri" w:hAnsi="Calibri" w:eastAsia="Calibri" w:cs="Calibri"/>
      <w:sz w:val="24"/>
    </w:rPr>
  </w:style>
  <w:style w:type="paragraph" w:styleId="729">
    <w:name w:val="Caption"/>
    <w:basedOn w:val="873"/>
    <w:semiHidden/>
    <w:unhideWhenUsed/>
    <w:qFormat/>
    <w:pPr>
      <w:jc w:val="left"/>
      <w:spacing w:before="0" w:after="0" w:line="276" w:lineRule="auto"/>
    </w:pPr>
    <w:rPr>
      <w:rFonts w:ascii="Calibri" w:hAnsi="Calibri" w:eastAsia="Calibri" w:cs="Calibri"/>
      <w:b/>
      <w:color w:val="4f81bd"/>
      <w:sz w:val="18"/>
    </w:rPr>
  </w:style>
  <w:style w:type="character" w:styleId="730">
    <w:name w:val="Caption Char"/>
    <w:basedOn w:val="729"/>
    <w:rPr>
      <w:rFonts w:ascii="Calibri" w:hAnsi="Calibri" w:eastAsia="Calibri" w:cs="Calibri"/>
      <w:sz w:val="24"/>
    </w:rPr>
  </w:style>
  <w:style w:type="table" w:styleId="731">
    <w:name w:val="Table Grid Light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Plain Table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Plain Table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1 Light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1 Light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1 Light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1 Light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1 Light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1 Light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1 Light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2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2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2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2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2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2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3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3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3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3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3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3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4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4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4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4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4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4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5 Dark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66">
    <w:name w:val="Grid Table 5 Dark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Layout w:type="autofit"/>
      <w:tblCellMar>
        <w:left w:w="0" w:type="dxa"/>
        <w:right w:w="0" w:type="dxa"/>
      </w:tblCellMar>
    </w:tblPr>
  </w:style>
  <w:style w:type="table" w:styleId="767">
    <w:name w:val="Grid Table 5 Dark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Layout w:type="autofit"/>
      <w:tblCellMar>
        <w:left w:w="0" w:type="dxa"/>
        <w:right w:w="0" w:type="dxa"/>
      </w:tblCellMar>
    </w:tblPr>
  </w:style>
  <w:style w:type="table" w:styleId="768">
    <w:name w:val="Grid Table 5 Dark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Layout w:type="autofit"/>
      <w:tblCellMar>
        <w:left w:w="0" w:type="dxa"/>
        <w:right w:w="0" w:type="dxa"/>
      </w:tblCellMar>
    </w:tblPr>
  </w:style>
  <w:style w:type="table" w:styleId="769">
    <w:name w:val="Grid Table 5 Dark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Layout w:type="autofit"/>
      <w:tblCellMar>
        <w:left w:w="0" w:type="dxa"/>
        <w:right w:w="0" w:type="dxa"/>
      </w:tblCellMar>
    </w:tblPr>
  </w:style>
  <w:style w:type="table" w:styleId="770">
    <w:name w:val="Grid Table 5 Dark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Layout w:type="autofit"/>
      <w:tblCellMar>
        <w:left w:w="0" w:type="dxa"/>
        <w:right w:w="0" w:type="dxa"/>
      </w:tblCellMar>
    </w:tblPr>
  </w:style>
  <w:style w:type="table" w:styleId="771">
    <w:name w:val="Grid Table 5 Dark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Layout w:type="autofit"/>
      <w:tblCellMar>
        <w:left w:w="0" w:type="dxa"/>
        <w:right w:w="0" w:type="dxa"/>
      </w:tblCellMar>
    </w:tblPr>
  </w:style>
  <w:style w:type="table" w:styleId="772">
    <w:name w:val="Grid Table 6 Colorful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6 Colorful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6 Colorful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Grid Table 6 Colorful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Grid Table 6 Colorful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Grid Table 6 Colorful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Grid Table 6 Colorful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Grid Table 7 Colorful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Grid Table 7 Colorful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Grid Table 7 Colorful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Grid Table 7 Colorful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Grid Table 7 Colorful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Grid Table 7 Colorful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Grid Table 7 Colorful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1 Light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1 Light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1 Light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1 Light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1 Light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1 Light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1 Light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2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2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2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2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2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2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3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3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3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3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3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3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4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4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4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4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4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4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5 Dark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15">
    <w:name w:val="List Table 5 Dark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Layout w:type="autofit"/>
      <w:tblCellMar>
        <w:left w:w="0" w:type="dxa"/>
        <w:right w:w="0" w:type="dxa"/>
      </w:tblCellMar>
    </w:tblPr>
  </w:style>
  <w:style w:type="table" w:styleId="816">
    <w:name w:val="List Table 5 Dark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Layout w:type="autofit"/>
      <w:tblCellMar>
        <w:left w:w="0" w:type="dxa"/>
        <w:right w:w="0" w:type="dxa"/>
      </w:tblCellMar>
    </w:tblPr>
  </w:style>
  <w:style w:type="table" w:styleId="817">
    <w:name w:val="List Table 5 Dark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Layout w:type="autofit"/>
      <w:tblCellMar>
        <w:left w:w="0" w:type="dxa"/>
        <w:right w:w="0" w:type="dxa"/>
      </w:tblCellMar>
    </w:tblPr>
  </w:style>
  <w:style w:type="table" w:styleId="818">
    <w:name w:val="List Table 5 Dark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Layout w:type="autofit"/>
      <w:tblCellMar>
        <w:left w:w="0" w:type="dxa"/>
        <w:right w:w="0" w:type="dxa"/>
      </w:tblCellMar>
    </w:tblPr>
  </w:style>
  <w:style w:type="table" w:styleId="819">
    <w:name w:val="List Table 5 Dark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Layout w:type="autofit"/>
      <w:tblCellMar>
        <w:left w:w="0" w:type="dxa"/>
        <w:right w:w="0" w:type="dxa"/>
      </w:tblCellMar>
    </w:tblPr>
  </w:style>
  <w:style w:type="table" w:styleId="820">
    <w:name w:val="List Table 5 Dark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Layout w:type="autofit"/>
      <w:tblCellMar>
        <w:left w:w="0" w:type="dxa"/>
        <w:right w:w="0" w:type="dxa"/>
      </w:tblCellMar>
    </w:tblPr>
  </w:style>
  <w:style w:type="table" w:styleId="821">
    <w:name w:val="List Table 6 Colorful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6 Colorful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6 Colorful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st Table 6 Colorful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st Table 6 Colorful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st Table 6 Colorful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st Table 6 Colorful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st Table 7 Colorful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List Table 7 Colorful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List Table 7 Colorful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List Table 7 Colorful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List Table 7 Colorful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List Table 7 Colorful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List Table 7 Colorful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Lined - Accent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Lined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Lined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Lined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Lined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Lined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Lined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Bordered &amp; Lined - Accent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Bordered &amp; Lined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Bordered &amp; Lined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5">
    <w:name w:val="Bordered &amp; Lined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6">
    <w:name w:val="Bordered &amp; Lined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7">
    <w:name w:val="Bordered &amp; Lined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8">
    <w:name w:val="Bordered &amp; Lined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9">
    <w:name w:val="Bordered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0">
    <w:name w:val="Bordered - Accent 1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1">
    <w:name w:val="Bordered - Accent 2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2">
    <w:name w:val="Bordered - Accent 3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3">
    <w:name w:val="Bordered - Accent 4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4">
    <w:name w:val="Bordered - Accent 5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5">
    <w:name w:val="Bordered - Accent 6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paragraph" w:styleId="856">
    <w:name w:val="footnote text"/>
    <w:basedOn w:val="873"/>
    <w:semiHidden/>
    <w:unhideWhenUsed/>
    <w:pPr>
      <w:jc w:val="left"/>
      <w:spacing w:before="0" w:after="40" w:line="240" w:lineRule="auto"/>
    </w:pPr>
    <w:rPr>
      <w:rFonts w:ascii="Calibri" w:hAnsi="Calibri" w:eastAsia="Calibri" w:cs="Calibri"/>
      <w:sz w:val="18"/>
    </w:rPr>
  </w:style>
  <w:style w:type="character" w:styleId="857">
    <w:name w:val="Footnote Text Char"/>
    <w:rPr>
      <w:rFonts w:ascii="Calibri" w:hAnsi="Calibri" w:eastAsia="Calibri" w:cs="Calibri"/>
      <w:sz w:val="18"/>
    </w:rPr>
  </w:style>
  <w:style w:type="character" w:styleId="858">
    <w:name w:val="footnote reference"/>
    <w:basedOn w:val="874"/>
    <w:unhideWhenUsed/>
    <w:rPr>
      <w:rFonts w:ascii="Calibri" w:hAnsi="Calibri" w:eastAsia="Calibri" w:cs="Calibri"/>
      <w:sz w:val="24"/>
      <w:vertAlign w:val="superscript"/>
    </w:rPr>
  </w:style>
  <w:style w:type="paragraph" w:styleId="859">
    <w:name w:val="endnote text"/>
    <w:basedOn w:val="873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0"/>
    </w:rPr>
  </w:style>
  <w:style w:type="character" w:styleId="860">
    <w:name w:val="Endnote Text Char"/>
    <w:rPr>
      <w:rFonts w:ascii="Calibri" w:hAnsi="Calibri" w:eastAsia="Calibri" w:cs="Calibri"/>
      <w:sz w:val="20"/>
    </w:rPr>
  </w:style>
  <w:style w:type="character" w:styleId="861">
    <w:name w:val="endnote reference"/>
    <w:basedOn w:val="874"/>
    <w:semiHidden/>
    <w:unhideWhenUsed/>
    <w:rPr>
      <w:rFonts w:ascii="Calibri" w:hAnsi="Calibri" w:eastAsia="Calibri" w:cs="Calibri"/>
      <w:sz w:val="24"/>
      <w:vertAlign w:val="superscript"/>
    </w:rPr>
  </w:style>
  <w:style w:type="paragraph" w:styleId="862">
    <w:name w:val="toc 1"/>
    <w:basedOn w:val="873"/>
    <w:unhideWhenUsed/>
    <w:pPr>
      <w:ind w:left="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3">
    <w:name w:val="toc 2"/>
    <w:basedOn w:val="873"/>
    <w:unhideWhenUsed/>
    <w:pPr>
      <w:ind w:left="283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4">
    <w:name w:val="toc 3"/>
    <w:basedOn w:val="873"/>
    <w:unhideWhenUsed/>
    <w:pPr>
      <w:ind w:left="56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5">
    <w:name w:val="toc 4"/>
    <w:basedOn w:val="873"/>
    <w:unhideWhenUsed/>
    <w:pPr>
      <w:ind w:left="85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6">
    <w:name w:val="toc 5"/>
    <w:basedOn w:val="873"/>
    <w:unhideWhenUsed/>
    <w:pPr>
      <w:ind w:left="113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7">
    <w:name w:val="toc 6"/>
    <w:basedOn w:val="873"/>
    <w:unhideWhenUsed/>
    <w:pPr>
      <w:ind w:left="141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8">
    <w:name w:val="toc 7"/>
    <w:basedOn w:val="873"/>
    <w:unhideWhenUsed/>
    <w:pPr>
      <w:ind w:left="1701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9">
    <w:name w:val="toc 8"/>
    <w:basedOn w:val="873"/>
    <w:unhideWhenUsed/>
    <w:pPr>
      <w:ind w:left="198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70">
    <w:name w:val="toc 9"/>
    <w:basedOn w:val="873"/>
    <w:unhideWhenUsed/>
    <w:pPr>
      <w:ind w:left="2268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71">
    <w:name w:val="TOC Heading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72">
    <w:name w:val="table of figures"/>
    <w:basedOn w:val="873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73" w:default="1">
    <w:name w:val="Normal"/>
    <w:qFormat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character" w:styleId="874" w:default="1">
    <w:name w:val="Default Paragraph Font"/>
    <w:semiHidden/>
    <w:unhideWhenUsed/>
    <w:rPr>
      <w:rFonts w:ascii="Calibri" w:hAnsi="Calibri" w:eastAsia="Calibri" w:cs="Calibri"/>
      <w:sz w:val="24"/>
    </w:rPr>
  </w:style>
  <w:style w:type="table" w:styleId="875" w:default="1">
    <w:name w:val="Normal Table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character" w:styleId="876">
    <w:name w:val="Hyperlink"/>
    <w:basedOn w:val="874"/>
    <w:unhideWhenUsed/>
    <w:rPr>
      <w:rFonts w:ascii="Calibri" w:hAnsi="Calibri" w:eastAsia="Calibri" w:cs="Calibri"/>
      <w:color w:val="0563c1"/>
      <w:sz w:val="24"/>
      <w:u w:val="single"/>
    </w:rPr>
  </w:style>
  <w:style w:type="paragraph" w:styleId="877">
    <w:name w:val="Header"/>
    <w:basedOn w:val="873"/>
    <w:unhideWhenUsed/>
    <w:pPr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4"/>
    </w:rPr>
  </w:style>
  <w:style w:type="character" w:styleId="878">
    <w:name w:val="Верхний колонтитул Знак"/>
    <w:basedOn w:val="874"/>
    <w:rPr>
      <w:rFonts w:ascii="Calibri" w:hAnsi="Calibri" w:eastAsia="Calibri" w:cs="Calibri"/>
      <w:sz w:val="24"/>
    </w:rPr>
  </w:style>
  <w:style w:type="paragraph" w:styleId="879">
    <w:name w:val="Footer"/>
    <w:basedOn w:val="873"/>
    <w:unhideWhenUsed/>
    <w:pPr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4"/>
    </w:rPr>
  </w:style>
  <w:style w:type="character" w:styleId="880">
    <w:name w:val="Нижний колонтитул Знак"/>
    <w:basedOn w:val="874"/>
    <w:rPr>
      <w:rFonts w:ascii="Calibri" w:hAnsi="Calibri" w:eastAsia="Calibri" w:cs="Calibri"/>
      <w:sz w:val="24"/>
    </w:rPr>
  </w:style>
  <w:style w:type="paragraph" w:styleId="881">
    <w:name w:val="List Paragraph"/>
    <w:basedOn w:val="873"/>
    <w:qFormat/>
    <w:pPr>
      <w:contextualSpacing/>
      <w:ind w:left="720"/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82">
    <w:name w:val="Balloon Text"/>
    <w:basedOn w:val="873"/>
    <w:semiHidden/>
    <w:unhideWhenUsed/>
    <w:pPr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character" w:styleId="883">
    <w:name w:val="Текст выноски Знак"/>
    <w:basedOn w:val="874"/>
    <w:semiHidden/>
    <w:rPr>
      <w:rFonts w:ascii="Tahoma" w:hAnsi="Tahoma" w:eastAsia="Tahoma" w:cs="Tahoma"/>
      <w:sz w:val="16"/>
    </w:rPr>
  </w:style>
  <w:style w:type="table" w:styleId="884">
    <w:name w:val="Table Grid"/>
    <w:basedOn w:val="87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85">
    <w:name w:val="line number"/>
    <w:basedOn w:val="874"/>
    <w:semiHidden/>
    <w:unhideWhenUsed/>
    <w:rPr>
      <w:rFonts w:ascii="Calibri" w:hAnsi="Calibri" w:eastAsia="Calibri" w:cs="Calibri"/>
      <w:sz w:val="24"/>
    </w:rPr>
  </w:style>
  <w:style w:type="character" w:styleId="886">
    <w:name w:val="annotation reference"/>
    <w:basedOn w:val="874"/>
    <w:semiHidden/>
    <w:unhideWhenUsed/>
    <w:rPr>
      <w:rFonts w:ascii="Calibri" w:hAnsi="Calibri" w:eastAsia="Calibri" w:cs="Calibri"/>
      <w:sz w:val="16"/>
    </w:rPr>
  </w:style>
  <w:style w:type="paragraph" w:styleId="887">
    <w:name w:val="annotation text"/>
    <w:basedOn w:val="873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0"/>
    </w:rPr>
  </w:style>
  <w:style w:type="character" w:styleId="888">
    <w:name w:val="Текст примечания Знак"/>
    <w:basedOn w:val="874"/>
    <w:semiHidden/>
    <w:rPr>
      <w:rFonts w:ascii="Calibri" w:hAnsi="Calibri" w:eastAsia="Calibri" w:cs="Calibri"/>
      <w:sz w:val="20"/>
    </w:rPr>
  </w:style>
  <w:style w:type="paragraph" w:styleId="889">
    <w:name w:val="annotation subject"/>
    <w:basedOn w:val="887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b/>
      <w:sz w:val="24"/>
    </w:rPr>
  </w:style>
  <w:style w:type="character" w:styleId="890">
    <w:name w:val="Тема примечания Знак"/>
    <w:basedOn w:val="888"/>
    <w:semiHidden/>
    <w:rPr>
      <w:rFonts w:ascii="Calibri" w:hAnsi="Calibri" w:eastAsia="Calibri" w:cs="Calibri"/>
      <w:b/>
      <w:sz w:val="20"/>
    </w:rPr>
  </w:style>
  <w:style w:type="paragraph" w:styleId="891">
    <w:name w:val="       ConsPlusNormal"/>
    <w:pPr>
      <w:contextualSpacing w:val="0"/>
      <w:ind w:left="0" w:firstLine="0"/>
      <w:jc w:val="left"/>
      <w:keepLines w:val="0"/>
      <w:keepNext w:val="0"/>
      <w:pageBreakBefore w:val="0"/>
      <w:spacing w:before="0" w:after="0" w:line="240" w:lineRule="auto"/>
      <w:shd w:val="clear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Arial" w:hAnsi="Arial" w:eastAsia="Arial" w:cs="Arial"/>
      <w:b w:val="0"/>
      <w:i w:val="0"/>
      <w:caps w:val="0"/>
      <w:smallCaps w:val="0"/>
      <w:strike w:val="0"/>
      <w:color w:val="000000"/>
      <w:spacing w:val="0"/>
      <w:position w:val="0"/>
      <w:sz w:val="16"/>
    </w:rPr>
  </w:style>
  <w:style w:type="numbering" w:styleId="892" w:default="1">
    <w:name w:val="No List"/>
    <w:uiPriority w:val="99"/>
    <w:semiHidden/>
    <w:unhideWhenUsed/>
  </w:style>
  <w:style w:type="paragraph" w:styleId="893" w:customStyle="1">
    <w:name w:val="Table Paragraph"/>
    <w:basedOn w:val="758"/>
    <w:uiPriority w:val="1"/>
    <w:qFormat/>
    <w:pPr>
      <w:contextualSpacing w:val="0"/>
      <w:ind w:left="106" w:right="0" w:firstLine="0"/>
      <w:jc w:val="left"/>
      <w:keepLines w:val="0"/>
      <w:keepNext w:val="0"/>
      <w:pageBreakBefore w:val="0"/>
      <w:spacing w:before="95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9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5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97" w:customStyle="1">
    <w:name w:val="Гиперссылка"/>
    <w:next w:val="805"/>
    <w:link w:val="765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gisp.gov.ru" TargetMode="External"/><Relationship Id="rId11" Type="http://schemas.openxmlformats.org/officeDocument/2006/relationships/hyperlink" Target="https://www.nso.ru/page/20854)." TargetMode="External"/><Relationship Id="rId12" Type="http://schemas.openxmlformats.org/officeDocument/2006/relationships/hyperlink" Target="https://login.consultant.ru/link/?req=doc&amp;base=LAW&amp;n=496275&amp;date=10.07.2025" TargetMode="External"/><Relationship Id="rId13" Type="http://schemas.openxmlformats.org/officeDocument/2006/relationships/hyperlink" Target="https://login.consultant.ru/link/?req=doc&amp;base=LAW&amp;n=496275&amp;date=10.07.2025" TargetMode="External"/><Relationship Id="rId14" Type="http://schemas.openxmlformats.org/officeDocument/2006/relationships/hyperlink" Target="https://login.consultant.ru/link/?req=doc&amp;base=LAW&amp;n=496275&amp;date=10.07.2025" TargetMode="External"/><Relationship Id="rId15" Type="http://schemas.openxmlformats.org/officeDocument/2006/relationships/hyperlink" Target="https://&#1087;&#1088;&#1086;&#1080;&#1079;&#1074;&#1086;&#1076;&#1080;&#1090;&#1077;&#1083;&#1100;&#1085;&#1086;&#1089;&#1090;&#1100;.&#1088;&#1092;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 Александр Витальевич</dc:creator>
  <cp:revision>15</cp:revision>
  <dcterms:modified xsi:type="dcterms:W3CDTF">2025-07-18T05:56:41Z</dcterms:modified>
</cp:coreProperties>
</file>